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9B" w:rsidRDefault="00B43B7C" w:rsidP="00E92E83">
      <w:pPr>
        <w:spacing w:after="0" w:line="240" w:lineRule="auto"/>
        <w:rPr>
          <w:rFonts w:ascii="Verdana" w:hAnsi="Verdana"/>
          <w:sz w:val="20"/>
          <w:szCs w:val="20"/>
        </w:rPr>
      </w:pPr>
      <w:r w:rsidRPr="00866F39">
        <w:rPr>
          <w:noProof/>
          <w:lang w:eastAsia="es-CL"/>
        </w:rPr>
        <w:drawing>
          <wp:inline distT="0" distB="0" distL="0" distR="0" wp14:anchorId="2655E39B" wp14:editId="48096815">
            <wp:extent cx="476738" cy="539262"/>
            <wp:effectExtent l="0" t="0" r="0" b="0"/>
            <wp:docPr id="2" name="4 Imagen" descr="INSIGNIA-Institu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Imagen" descr="INSIGNIA-Institut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860" cy="53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E83" w:rsidRPr="009A0E5D" w:rsidRDefault="00E92E83" w:rsidP="00E92E83">
      <w:pPr>
        <w:spacing w:after="0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I</w:t>
      </w:r>
      <w:r w:rsidRPr="009A0E5D">
        <w:rPr>
          <w:rFonts w:ascii="Verdana" w:eastAsia="Calibri" w:hAnsi="Verdana"/>
          <w:sz w:val="20"/>
          <w:szCs w:val="20"/>
        </w:rPr>
        <w:t>NSTITUTO INMACULADA CONCEPCIÓN DE VALDIVIA</w:t>
      </w:r>
    </w:p>
    <w:p w:rsidR="00E92E83" w:rsidRPr="009A0E5D" w:rsidRDefault="00E92E83" w:rsidP="00E92E83">
      <w:pPr>
        <w:spacing w:after="0"/>
        <w:rPr>
          <w:rFonts w:ascii="Verdana" w:eastAsia="Calibri" w:hAnsi="Verdana"/>
          <w:sz w:val="20"/>
          <w:szCs w:val="20"/>
        </w:rPr>
      </w:pPr>
      <w:r w:rsidRPr="009A0E5D">
        <w:rPr>
          <w:rFonts w:ascii="Verdana" w:eastAsia="Calibri" w:hAnsi="Verdana"/>
          <w:sz w:val="20"/>
          <w:szCs w:val="20"/>
        </w:rPr>
        <w:t>_________________</w:t>
      </w:r>
    </w:p>
    <w:p w:rsidR="00C07855" w:rsidRDefault="00C07855" w:rsidP="00E92E83">
      <w:pPr>
        <w:spacing w:after="0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DEPARTAMENTO DE LENGUAJE Y FILOSOFÍA</w:t>
      </w:r>
      <w:bookmarkStart w:id="0" w:name="_GoBack"/>
      <w:bookmarkEnd w:id="0"/>
    </w:p>
    <w:p w:rsidR="00E92E83" w:rsidRDefault="00B43B7C" w:rsidP="00E92E83">
      <w:pPr>
        <w:spacing w:after="0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Argumentación, Filosofía Electivo IV</w:t>
      </w:r>
      <w:r w:rsidR="00E92E83">
        <w:rPr>
          <w:rFonts w:ascii="Verdana" w:eastAsia="Calibri" w:hAnsi="Verdana"/>
          <w:sz w:val="20"/>
          <w:szCs w:val="20"/>
        </w:rPr>
        <w:t xml:space="preserve"> Medio</w:t>
      </w:r>
    </w:p>
    <w:p w:rsidR="00E92E83" w:rsidRDefault="00E92E83" w:rsidP="00E92E8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Jonathan Segovia S.</w:t>
      </w:r>
    </w:p>
    <w:p w:rsidR="00E92E83" w:rsidRDefault="00E92E83" w:rsidP="00E92E83">
      <w:pPr>
        <w:spacing w:after="0"/>
        <w:rPr>
          <w:rFonts w:ascii="Verdana" w:hAnsi="Verdana"/>
          <w:sz w:val="20"/>
          <w:szCs w:val="20"/>
        </w:rPr>
      </w:pPr>
    </w:p>
    <w:p w:rsidR="00E92E83" w:rsidRPr="00B73DDF" w:rsidRDefault="00E92E83" w:rsidP="00E92E83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 w:rsidRPr="00B73DDF">
        <w:rPr>
          <w:rFonts w:ascii="Verdana" w:hAnsi="Verdana"/>
          <w:b/>
          <w:sz w:val="24"/>
          <w:szCs w:val="24"/>
          <w:u w:val="single"/>
        </w:rPr>
        <w:t xml:space="preserve">Guía </w:t>
      </w:r>
      <w:r>
        <w:rPr>
          <w:rFonts w:ascii="Verdana" w:hAnsi="Verdana"/>
          <w:b/>
          <w:sz w:val="24"/>
          <w:szCs w:val="24"/>
          <w:u w:val="single"/>
        </w:rPr>
        <w:t>de Aprendizaje</w:t>
      </w:r>
      <w:r w:rsidRPr="00B73DDF">
        <w:rPr>
          <w:rFonts w:ascii="Verdana" w:hAnsi="Verdana"/>
          <w:b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sz w:val="24"/>
          <w:szCs w:val="24"/>
          <w:u w:val="single"/>
        </w:rPr>
        <w:t>“</w:t>
      </w:r>
      <w:r w:rsidR="00F3152C">
        <w:rPr>
          <w:rFonts w:ascii="Verdana" w:hAnsi="Verdana"/>
          <w:b/>
          <w:sz w:val="24"/>
          <w:szCs w:val="24"/>
          <w:u w:val="single"/>
        </w:rPr>
        <w:t xml:space="preserve">Ciencias </w:t>
      </w:r>
      <w:r w:rsidR="002666A9">
        <w:rPr>
          <w:rFonts w:ascii="Verdana" w:hAnsi="Verdana"/>
          <w:b/>
          <w:sz w:val="24"/>
          <w:szCs w:val="24"/>
          <w:u w:val="single"/>
        </w:rPr>
        <w:t>Naturales</w:t>
      </w:r>
      <w:r w:rsidR="00F3152C">
        <w:rPr>
          <w:rFonts w:ascii="Verdana" w:hAnsi="Verdana"/>
          <w:b/>
          <w:sz w:val="24"/>
          <w:szCs w:val="24"/>
          <w:u w:val="single"/>
        </w:rPr>
        <w:t xml:space="preserve"> y Ciencias </w:t>
      </w:r>
      <w:r w:rsidR="002666A9">
        <w:rPr>
          <w:rFonts w:ascii="Verdana" w:hAnsi="Verdana"/>
          <w:b/>
          <w:sz w:val="24"/>
          <w:szCs w:val="24"/>
          <w:u w:val="single"/>
        </w:rPr>
        <w:t>Sociales</w:t>
      </w:r>
      <w:r>
        <w:rPr>
          <w:rFonts w:ascii="Verdana" w:hAnsi="Verdana"/>
          <w:b/>
          <w:sz w:val="24"/>
          <w:szCs w:val="24"/>
          <w:u w:val="single"/>
        </w:rPr>
        <w:t>”</w:t>
      </w:r>
      <w:r w:rsidR="002B4572">
        <w:rPr>
          <w:rStyle w:val="Refdenotaalpie"/>
          <w:rFonts w:ascii="Verdana" w:hAnsi="Verdana"/>
          <w:b/>
          <w:sz w:val="24"/>
          <w:szCs w:val="24"/>
          <w:u w:val="single"/>
        </w:rPr>
        <w:footnoteReference w:id="1"/>
      </w:r>
    </w:p>
    <w:p w:rsidR="00E92E83" w:rsidRDefault="00E92E83" w:rsidP="00E92E83">
      <w:pPr>
        <w:spacing w:after="0"/>
        <w:rPr>
          <w:rFonts w:ascii="Verdana" w:hAnsi="Verdana"/>
          <w:sz w:val="20"/>
          <w:szCs w:val="20"/>
        </w:rPr>
      </w:pPr>
    </w:p>
    <w:p w:rsidR="00E92E83" w:rsidRPr="009A0E5D" w:rsidRDefault="00E92E83" w:rsidP="00E92E83">
      <w:pPr>
        <w:spacing w:after="0"/>
        <w:rPr>
          <w:rFonts w:ascii="Verdana" w:hAnsi="Verdana"/>
          <w:sz w:val="20"/>
          <w:szCs w:val="20"/>
          <w:lang w:val="es-ES_tradnl"/>
        </w:rPr>
      </w:pPr>
      <w:r w:rsidRPr="009A0E5D">
        <w:rPr>
          <w:rFonts w:ascii="Verdana" w:hAnsi="Verdana"/>
          <w:sz w:val="20"/>
          <w:szCs w:val="20"/>
          <w:lang w:val="es-ES_tradnl"/>
        </w:rPr>
        <w:t xml:space="preserve">NOMBRE: </w:t>
      </w:r>
      <w:r>
        <w:rPr>
          <w:rFonts w:ascii="Verdana" w:hAnsi="Verdana"/>
          <w:sz w:val="20"/>
          <w:szCs w:val="20"/>
          <w:lang w:val="es-ES_tradnl"/>
        </w:rPr>
        <w:t>…………….</w:t>
      </w:r>
      <w:r w:rsidRPr="009A0E5D">
        <w:rPr>
          <w:rFonts w:ascii="Verdana" w:hAnsi="Verdana"/>
          <w:sz w:val="20"/>
          <w:szCs w:val="20"/>
          <w:lang w:val="es-ES_tradnl"/>
        </w:rPr>
        <w:t>………………………………………………</w:t>
      </w:r>
      <w:r w:rsidR="002B4572">
        <w:rPr>
          <w:rFonts w:ascii="Verdana" w:hAnsi="Verdana"/>
          <w:sz w:val="20"/>
          <w:szCs w:val="20"/>
          <w:lang w:val="es-ES_tradnl"/>
        </w:rPr>
        <w:t>……. FECHA: 18</w:t>
      </w:r>
      <w:r w:rsidR="00836B0C">
        <w:rPr>
          <w:rFonts w:ascii="Verdana" w:hAnsi="Verdana"/>
          <w:sz w:val="20"/>
          <w:szCs w:val="20"/>
          <w:lang w:val="es-ES_tradnl"/>
        </w:rPr>
        <w:t>-</w:t>
      </w:r>
      <w:r w:rsidR="00B43B7C">
        <w:rPr>
          <w:rFonts w:ascii="Verdana" w:hAnsi="Verdana"/>
          <w:sz w:val="20"/>
          <w:szCs w:val="20"/>
          <w:lang w:val="es-ES_tradnl"/>
        </w:rPr>
        <w:t>03-2020</w:t>
      </w:r>
    </w:p>
    <w:p w:rsidR="00E92E83" w:rsidRPr="009A0E5D" w:rsidRDefault="00E92E83" w:rsidP="00E92E83">
      <w:pPr>
        <w:spacing w:after="0"/>
        <w:rPr>
          <w:rFonts w:ascii="Verdana" w:hAnsi="Verdana"/>
          <w:sz w:val="20"/>
          <w:szCs w:val="20"/>
          <w:lang w:val="es-ES_tradnl"/>
        </w:rPr>
      </w:pPr>
      <w:r w:rsidRPr="009A0E5D">
        <w:rPr>
          <w:rFonts w:ascii="Verdana" w:hAnsi="Verdana"/>
          <w:sz w:val="20"/>
          <w:szCs w:val="20"/>
          <w:lang w:val="es-ES_tradnl"/>
        </w:rPr>
        <w:t>OBJETIVOS:</w:t>
      </w:r>
      <w:r>
        <w:rPr>
          <w:rFonts w:ascii="Verdana" w:hAnsi="Verdana"/>
          <w:sz w:val="20"/>
          <w:szCs w:val="20"/>
          <w:lang w:val="es-ES_tradnl"/>
        </w:rPr>
        <w:tab/>
      </w:r>
      <w:r w:rsidRPr="009A0E5D">
        <w:rPr>
          <w:rFonts w:ascii="Verdana" w:hAnsi="Verdana"/>
          <w:sz w:val="20"/>
          <w:szCs w:val="20"/>
          <w:lang w:val="es-ES_tradnl"/>
        </w:rPr>
        <w:t>CAPACIDAD: Razonam</w:t>
      </w:r>
      <w:r w:rsidR="00F3152C">
        <w:rPr>
          <w:rFonts w:ascii="Verdana" w:hAnsi="Verdana"/>
          <w:sz w:val="20"/>
          <w:szCs w:val="20"/>
          <w:lang w:val="es-ES_tradnl"/>
        </w:rPr>
        <w:t>iento lógico</w:t>
      </w:r>
      <w:r w:rsidR="006B05B1">
        <w:rPr>
          <w:rFonts w:ascii="Verdana" w:hAnsi="Verdana"/>
          <w:sz w:val="20"/>
          <w:szCs w:val="20"/>
          <w:lang w:val="es-ES_tradnl"/>
        </w:rPr>
        <w:t>, expresión escrita</w:t>
      </w:r>
      <w:r w:rsidR="00D174A1">
        <w:rPr>
          <w:rFonts w:ascii="Verdana" w:hAnsi="Verdana"/>
          <w:sz w:val="20"/>
          <w:szCs w:val="20"/>
          <w:lang w:val="es-ES_tradnl"/>
        </w:rPr>
        <w:t>.</w:t>
      </w:r>
      <w:r w:rsidR="00F3152C">
        <w:rPr>
          <w:rFonts w:ascii="Verdana" w:hAnsi="Verdana"/>
          <w:sz w:val="20"/>
          <w:szCs w:val="20"/>
          <w:lang w:val="es-ES_tradnl"/>
        </w:rPr>
        <w:t xml:space="preserve"> </w:t>
      </w:r>
    </w:p>
    <w:p w:rsidR="006C09B7" w:rsidRDefault="00E92E83" w:rsidP="00E92E83">
      <w:pPr>
        <w:spacing w:after="0"/>
        <w:rPr>
          <w:rFonts w:ascii="Verdana" w:hAnsi="Verdana"/>
          <w:sz w:val="20"/>
          <w:szCs w:val="20"/>
          <w:lang w:val="es-ES_tradnl"/>
        </w:rPr>
      </w:pPr>
      <w:r w:rsidRPr="009A0E5D">
        <w:rPr>
          <w:rFonts w:ascii="Verdana" w:hAnsi="Verdana"/>
          <w:sz w:val="20"/>
          <w:szCs w:val="20"/>
          <w:lang w:val="es-ES_tradnl"/>
        </w:rPr>
        <w:t xml:space="preserve">                   </w:t>
      </w:r>
      <w:r w:rsidR="00836B0C">
        <w:rPr>
          <w:rFonts w:ascii="Verdana" w:hAnsi="Verdana"/>
          <w:sz w:val="20"/>
          <w:szCs w:val="20"/>
          <w:lang w:val="es-ES_tradnl"/>
        </w:rPr>
        <w:tab/>
        <w:t>DESTREZAS:</w:t>
      </w:r>
      <w:r w:rsidR="006C09B7">
        <w:rPr>
          <w:rFonts w:ascii="Verdana" w:hAnsi="Verdana"/>
          <w:sz w:val="20"/>
          <w:szCs w:val="20"/>
          <w:lang w:val="es-ES_tradnl"/>
        </w:rPr>
        <w:t xml:space="preserve"> </w:t>
      </w:r>
      <w:r w:rsidR="00F3152C">
        <w:rPr>
          <w:rFonts w:ascii="Verdana" w:hAnsi="Verdana"/>
          <w:b/>
          <w:sz w:val="20"/>
          <w:szCs w:val="20"/>
          <w:lang w:val="es-ES_tradnl"/>
        </w:rPr>
        <w:t>Comparar</w:t>
      </w:r>
      <w:r w:rsidR="006B05B1">
        <w:rPr>
          <w:rFonts w:ascii="Verdana" w:hAnsi="Verdana"/>
          <w:b/>
          <w:sz w:val="20"/>
          <w:szCs w:val="20"/>
          <w:lang w:val="es-ES_tradnl"/>
        </w:rPr>
        <w:t>, inferir, argumentar</w:t>
      </w:r>
      <w:r w:rsidR="00D174A1">
        <w:rPr>
          <w:rFonts w:ascii="Verdana" w:hAnsi="Verdana"/>
          <w:b/>
          <w:sz w:val="20"/>
          <w:szCs w:val="20"/>
          <w:lang w:val="es-ES_tradnl"/>
        </w:rPr>
        <w:t>.</w:t>
      </w:r>
    </w:p>
    <w:p w:rsidR="00E92E83" w:rsidRDefault="00E92E83" w:rsidP="00E92E83">
      <w:pPr>
        <w:spacing w:after="0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ab/>
      </w:r>
      <w:r>
        <w:rPr>
          <w:rFonts w:ascii="Verdana" w:hAnsi="Verdana"/>
          <w:sz w:val="20"/>
          <w:szCs w:val="20"/>
          <w:lang w:val="es-ES_tradnl"/>
        </w:rPr>
        <w:tab/>
        <w:t xml:space="preserve">ACTITUD: </w:t>
      </w:r>
      <w:r w:rsidR="00F3152C">
        <w:rPr>
          <w:rFonts w:ascii="Verdana" w:hAnsi="Verdana"/>
          <w:sz w:val="20"/>
          <w:szCs w:val="20"/>
          <w:lang w:val="es-ES_tradnl"/>
        </w:rPr>
        <w:t>perseverancia</w:t>
      </w:r>
      <w:r w:rsidR="006B05B1">
        <w:rPr>
          <w:rFonts w:ascii="Verdana" w:hAnsi="Verdana"/>
          <w:sz w:val="20"/>
          <w:szCs w:val="20"/>
          <w:lang w:val="es-ES_tradnl"/>
        </w:rPr>
        <w:t>, responsabilidad.</w:t>
      </w:r>
    </w:p>
    <w:p w:rsidR="00E92E83" w:rsidRDefault="00E92E83" w:rsidP="00E92C3D">
      <w:pPr>
        <w:spacing w:after="0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CONTENIDO: </w:t>
      </w:r>
      <w:r w:rsidR="00F71720">
        <w:rPr>
          <w:rFonts w:ascii="Verdana" w:hAnsi="Verdana"/>
          <w:sz w:val="20"/>
          <w:szCs w:val="20"/>
          <w:lang w:val="es-ES_tradnl"/>
        </w:rPr>
        <w:t>Características del conocimiento científico:</w:t>
      </w:r>
      <w:r w:rsidR="00F71720" w:rsidRPr="00F71720">
        <w:t xml:space="preserve"> </w:t>
      </w:r>
      <w:r w:rsidR="00F71720">
        <w:t>C</w:t>
      </w:r>
      <w:proofErr w:type="spellStart"/>
      <w:r w:rsidR="00F71720" w:rsidRPr="00F71720">
        <w:rPr>
          <w:rFonts w:ascii="Verdana" w:hAnsi="Verdana"/>
          <w:sz w:val="20"/>
          <w:szCs w:val="20"/>
          <w:lang w:val="es-ES_tradnl"/>
        </w:rPr>
        <w:t>onocimiento</w:t>
      </w:r>
      <w:proofErr w:type="spellEnd"/>
      <w:r w:rsidR="00F71720" w:rsidRPr="00F71720">
        <w:rPr>
          <w:rFonts w:ascii="Verdana" w:hAnsi="Verdana"/>
          <w:sz w:val="20"/>
          <w:szCs w:val="20"/>
          <w:lang w:val="es-ES_tradnl"/>
        </w:rPr>
        <w:t xml:space="preserve"> social, general o sujeto a leyes</w:t>
      </w:r>
      <w:r w:rsidR="00F71720">
        <w:rPr>
          <w:rFonts w:ascii="Verdana" w:hAnsi="Verdana"/>
          <w:sz w:val="20"/>
          <w:szCs w:val="20"/>
          <w:lang w:val="es-ES_tradnl"/>
        </w:rPr>
        <w:t>, c</w:t>
      </w:r>
      <w:r w:rsidR="00F71720" w:rsidRPr="00F71720">
        <w:rPr>
          <w:rFonts w:ascii="Verdana" w:hAnsi="Verdana"/>
          <w:sz w:val="20"/>
          <w:szCs w:val="20"/>
          <w:lang w:val="es-ES_tradnl"/>
        </w:rPr>
        <w:t>onocimiento racional, metódico, universal y exacto</w:t>
      </w:r>
      <w:r w:rsidR="00F71720">
        <w:rPr>
          <w:rFonts w:ascii="Verdana" w:hAnsi="Verdana"/>
          <w:sz w:val="20"/>
          <w:szCs w:val="20"/>
          <w:lang w:val="es-ES_tradnl"/>
        </w:rPr>
        <w:t>. C</w:t>
      </w:r>
      <w:r w:rsidR="00F71720" w:rsidRPr="00F71720">
        <w:rPr>
          <w:rFonts w:ascii="Verdana" w:hAnsi="Verdana"/>
          <w:sz w:val="20"/>
          <w:szCs w:val="20"/>
          <w:lang w:val="es-ES_tradnl"/>
        </w:rPr>
        <w:t>apacidad explicativa y predictiva</w:t>
      </w:r>
      <w:r w:rsidR="00F71720">
        <w:rPr>
          <w:rFonts w:ascii="Verdana" w:hAnsi="Verdana"/>
          <w:sz w:val="20"/>
          <w:szCs w:val="20"/>
          <w:lang w:val="es-ES_tradnl"/>
        </w:rPr>
        <w:t xml:space="preserve">. </w:t>
      </w:r>
      <w:r w:rsidR="00F71720" w:rsidRPr="00F71720">
        <w:rPr>
          <w:rFonts w:ascii="Verdana" w:hAnsi="Verdana"/>
          <w:sz w:val="20"/>
          <w:szCs w:val="20"/>
          <w:lang w:val="es-ES_tradnl"/>
        </w:rPr>
        <w:t xml:space="preserve">Conocimiento verificable, </w:t>
      </w:r>
      <w:proofErr w:type="spellStart"/>
      <w:r w:rsidR="00F71720" w:rsidRPr="00F71720">
        <w:rPr>
          <w:rFonts w:ascii="Verdana" w:hAnsi="Verdana"/>
          <w:sz w:val="20"/>
          <w:szCs w:val="20"/>
          <w:lang w:val="es-ES_tradnl"/>
        </w:rPr>
        <w:t>falseable</w:t>
      </w:r>
      <w:proofErr w:type="spellEnd"/>
      <w:r w:rsidR="00F71720" w:rsidRPr="00F71720">
        <w:rPr>
          <w:rFonts w:ascii="Verdana" w:hAnsi="Verdana"/>
          <w:sz w:val="20"/>
          <w:szCs w:val="20"/>
          <w:lang w:val="es-ES_tradnl"/>
        </w:rPr>
        <w:t xml:space="preserve"> y revisable</w:t>
      </w:r>
      <w:r w:rsidR="00F71720">
        <w:rPr>
          <w:rFonts w:ascii="Verdana" w:hAnsi="Verdana"/>
          <w:sz w:val="20"/>
          <w:szCs w:val="20"/>
          <w:lang w:val="es-ES_tradnl"/>
        </w:rPr>
        <w:t>.</w:t>
      </w:r>
    </w:p>
    <w:p w:rsidR="00836B0C" w:rsidRPr="002B4572" w:rsidRDefault="00CF57C2" w:rsidP="005663C5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s-ES_tradnl"/>
        </w:rPr>
      </w:pPr>
      <w:r w:rsidRPr="002B4572">
        <w:rPr>
          <w:rFonts w:ascii="Verdana" w:hAnsi="Verdana"/>
          <w:b/>
          <w:sz w:val="20"/>
          <w:szCs w:val="20"/>
          <w:lang w:val="es-ES_tradnl"/>
        </w:rPr>
        <w:t>UNIDAD III: CONOCIMIENTO CIENTÍFICO EN PERSPECTIVA</w:t>
      </w:r>
    </w:p>
    <w:p w:rsidR="002B4572" w:rsidRDefault="002B4572" w:rsidP="002B4572">
      <w:pPr>
        <w:spacing w:after="0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 xml:space="preserve">Consultas a: </w:t>
      </w:r>
      <w:hyperlink r:id="rId10" w:history="1">
        <w:r w:rsidRPr="007B4643">
          <w:rPr>
            <w:rStyle w:val="Hipervnculo"/>
            <w:rFonts w:ascii="Verdana" w:hAnsi="Verdana"/>
            <w:sz w:val="20"/>
            <w:szCs w:val="20"/>
            <w:lang w:val="es-ES_tradnl"/>
          </w:rPr>
          <w:t>prof.jsegovia@gmail.com</w:t>
        </w:r>
      </w:hyperlink>
      <w:r>
        <w:rPr>
          <w:rFonts w:ascii="Verdana" w:hAnsi="Verdana"/>
          <w:sz w:val="20"/>
          <w:szCs w:val="20"/>
          <w:lang w:val="es-ES_tradnl"/>
        </w:rPr>
        <w:t xml:space="preserve"> (las consultas serán respondidas de lunes a viernes, entre las 08:00 y las 16:00 horas).</w:t>
      </w:r>
    </w:p>
    <w:p w:rsidR="00CF57C2" w:rsidRDefault="00CF57C2" w:rsidP="005663C5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</w:p>
    <w:p w:rsidR="002666A9" w:rsidRPr="00430382" w:rsidRDefault="002666A9" w:rsidP="002666A9">
      <w:pPr>
        <w:spacing w:after="0" w:line="240" w:lineRule="auto"/>
        <w:jc w:val="center"/>
        <w:rPr>
          <w:rFonts w:ascii="Verdana" w:hAnsi="Verdana"/>
          <w:b/>
          <w:bCs/>
          <w:color w:val="000000" w:themeColor="text1"/>
          <w:u w:val="single"/>
          <w:lang w:val="es-ES"/>
        </w:rPr>
      </w:pPr>
      <w:r w:rsidRPr="00430382">
        <w:rPr>
          <w:rFonts w:ascii="Verdana" w:hAnsi="Verdana"/>
          <w:b/>
          <w:bCs/>
          <w:color w:val="000000" w:themeColor="text1"/>
          <w:u w:val="single"/>
          <w:lang w:val="es-ES"/>
        </w:rPr>
        <w:t>Hecho natural y hecho social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lang w:val="es-ES"/>
        </w:rPr>
      </w:pPr>
      <w:r w:rsidRPr="002666A9">
        <w:rPr>
          <w:rFonts w:ascii="Verdana" w:hAnsi="Verdana"/>
          <w:b/>
          <w:bCs/>
          <w:color w:val="000000" w:themeColor="text1"/>
          <w:sz w:val="20"/>
          <w:szCs w:val="20"/>
          <w:lang w:val="es-ES"/>
        </w:rPr>
        <w:t>NARRACIÓN A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  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Entre el 16 y el 22 de julio de 1994, 21 fragmentos de un cometa de gran tamaño se estrellaron en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el hemisferio sur del planeta Júpiter. Es la primera vez que un fenómeno de estas características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pudo ser registrado por los instrumentos de los astrónomos. El cometa fue denominado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Shoemaker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-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Levy, en honor a los astrónomos que lo identificaron y lo fotografiaron en marzo de 1993,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orbitando alrededor del planeta. Los referidos astrónomos predijeron la colisión de fragmentos del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cometa en la superficie de Júpiter. Concluyeron que las fuerzas gravitacionales del planeta destrozarían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el núcleo único del cometa y que algunos fragmentos impactarían en su superficie.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  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Así ocurrió. Los sucesivos impactos de los fragmentos sobre el hemisferio sur de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Júpìter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liberaron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una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cantidad de energía equivalente a millares de cabezas termonucleares. El impacto del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mayor de los fragmento, el llamado ‘G’, provocó un destello que superó el brillo del planeta e,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incluso, dañó el delicado sensor óptico digital del telescopio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Deck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, en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Hawai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. Cada uno de los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impactos produjo una enorme mancha oscura visible con los telescopios terrestres. Las áreas impactadas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suman una dimensión de 12.000 kilómetros, comparables al diámetro de la Tierra.</w:t>
      </w:r>
    </w:p>
    <w:p w:rsidR="002666A9" w:rsidRDefault="002666A9" w:rsidP="002666A9">
      <w:pPr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lang w:val="es-ES"/>
        </w:rPr>
      </w:pP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  <w:lang w:val="es-ES"/>
        </w:rPr>
      </w:pPr>
      <w:r w:rsidRPr="002666A9">
        <w:rPr>
          <w:rFonts w:ascii="Verdana" w:hAnsi="Verdana"/>
          <w:b/>
          <w:bCs/>
          <w:color w:val="000000" w:themeColor="text1"/>
          <w:sz w:val="20"/>
          <w:szCs w:val="20"/>
          <w:lang w:val="es-ES"/>
        </w:rPr>
        <w:t>NARRACIÓN B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  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Sin lugar a dudas la gente aumentó considerablemente su curiosidad por la astronomía a raíz del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impacto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de los fragmentos del cometa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Shoemaker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-Levy 9 contra Júpiter.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Sin embargo, al igual que en otras ocasiones, las maravillas del cielo fueron pretexto para que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gente sin escrúpulos hiciera cundir el pánico entre el público con menos cultura en este tipo de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ciencias. Una gran cantidad de charlatanes, en ocasiones, lamentablemente secundados por algunos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medios de comunicación, empezaron a divulgar que los impactos del cometa contra Júpiter originarían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una catástrofe natural sin precedentes para la vida en la Tierra. Sin el menor conocimiento,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alegaban que el cometa desintegraría Júpiter y que la aniquilación del planeta, por ende, provocaría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una serie de catástrofes naturales en nuestro planeta que acabaría con la humanidad. Por su lado los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astrólogos, en un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intento por mejorar su ya desprestigiada reputación y credibilidad, presagiaron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que el impacto del cometa en Júpiter originaria una serie de “malas influencias astrales” que repercutirían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en la vida común de la gente.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  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Como siempre, gente sin cultura astronómica, o por ignorancia de la más elemental lógica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vivió días de temor y angustia. Como ahora, a la distancia sabemos, ninguno de estos presagios se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cumplieron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. Por obvias razones.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  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Sin embargo esto no importó para los “negros profetas </w:t>
      </w:r>
      <w:r w:rsidR="00510F39">
        <w:rPr>
          <w:rFonts w:ascii="Verdana" w:hAnsi="Verdana"/>
          <w:color w:val="000000" w:themeColor="text1"/>
          <w:sz w:val="20"/>
          <w:szCs w:val="20"/>
          <w:lang w:val="es-ES"/>
        </w:rPr>
        <w:t>del Apocalipsis”. Al cabo de una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 semanas,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inventaron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una nueva historia más perfeccionada. El semanario sensacionalista “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Weekly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World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News”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de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Canadá publicó la conferencia de prensa de un supuesto astrónomo de nombre Marvin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Hotower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el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cual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aseguraba que un fragmento del cometa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Shoemaker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-Levy 9 se dirigía a gran velocidad contra el</w:t>
      </w:r>
    </w:p>
    <w:p w:rsidR="00CF57C2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planeta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Tierra y que para el 18 de septiembre de 1994 impactaría en una región de Estados Unidos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acabando con toda la vida del continente Norteamericano, incluidos Canadá y México. A pesar de una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serie de monumentales errores de la nota, ésta llegó a ser reproducida por diversos medios impresos del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continente, entre ellos un diario de nuestra región “de cuyo nombre no quiero acordarme”. 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>N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uevamente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la gente menos preparada fue víctima de angustia por culpa de estas calumnias.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La información era de lo más descarada en cuanto a los datos, supuestamente científicos que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daba el “astrónomo” Marvin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Hotower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. Para empezar es irracional suponer que un cometa pueda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cubrir en tan solo dos meses 650 millones de kilómetros de distancia que nos separan de Júpiter.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Como el lector podrá sospechar, el cometa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Shoemaker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-Levy 9 tardó dos años en completar la órbita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de más de 100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lastRenderedPageBreak/>
        <w:t xml:space="preserve">millones de kilómetros para impactar al planeta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joviano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. </w:t>
      </w: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¿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Qué nos hace suponer que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un fragmento de ese cometa pudiera acelerar a tal grado para alcanzar la tierra a tan solo dos meses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de los impactos </w:t>
      </w:r>
    </w:p>
    <w:p w:rsidR="00CF57C2" w:rsidRDefault="00CF57C2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</w:p>
    <w:p w:rsidR="00CF57C2" w:rsidRDefault="00CF57C2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</w:p>
    <w:p w:rsidR="00CF57C2" w:rsidRDefault="00CF57C2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</w:p>
    <w:p w:rsid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en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Júpiter? Por si fuera poco, la nota periodística comentaba que el fragmento de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1.6 kilómetros de diámetro que se aproximaba a la Tierra impactaría con una fuerza equivalente a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varios miles de veces el arsenal nuclear del planeta. Esta es </w:t>
      </w: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un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completa falsedad, puesto que un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cometa no puede desencadenar una energía tan colosal como miles de veces el arsenal nuclear. Para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acabar de tajo 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con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las especulaciones, no existe ningún astrónomo llamado Marvin </w:t>
      </w:r>
      <w:proofErr w:type="spell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Hotower</w:t>
      </w:r>
      <w:proofErr w:type="spell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en los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institutos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científicos y observatorios astronómicos de Norteamérica, por lo cual incluso el nombre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es un invento más de los “fabricantes de fábulas”. Por lo mismo el día del supuesto impacto con el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cometa,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seguramente sería un día como cualquier otro.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   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Nuevamente hemos superado las “apocalípticas fechas” de estos falsos profetas del fin del mundo,</w:t>
      </w:r>
    </w:p>
    <w:p w:rsidR="002666A9" w:rsidRPr="002666A9" w:rsidRDefault="002666A9" w:rsidP="002666A9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gramStart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y</w:t>
      </w:r>
      <w:proofErr w:type="gramEnd"/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nada extraordinario ha pasado. Sin embargo vale avisar que muy pronto los “negros profetas del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Apocalipsis” volverán al ataque...</w:t>
      </w:r>
    </w:p>
    <w:p w:rsidR="00F3152C" w:rsidRDefault="002666A9" w:rsidP="002666A9">
      <w:pPr>
        <w:spacing w:after="0" w:line="240" w:lineRule="auto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2666A9">
        <w:rPr>
          <w:rFonts w:ascii="Verdana" w:hAnsi="Verdana"/>
          <w:color w:val="000000" w:themeColor="text1"/>
          <w:sz w:val="20"/>
          <w:szCs w:val="20"/>
          <w:lang w:val="es-ES"/>
        </w:rPr>
        <w:t>http://www.geocities.com/CapeCanaveral/1526/rep3.html</w:t>
      </w:r>
    </w:p>
    <w:p w:rsidR="00F3152C" w:rsidRDefault="00F3152C" w:rsidP="00F3152C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F3152C" w:rsidRPr="00F3152C" w:rsidRDefault="00F3152C" w:rsidP="00F3152C">
      <w:pPr>
        <w:pStyle w:val="Prrafodelista"/>
        <w:numPr>
          <w:ilvl w:val="0"/>
          <w:numId w:val="3"/>
        </w:num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F3152C">
        <w:rPr>
          <w:rFonts w:ascii="Verdana" w:hAnsi="Verdana"/>
          <w:b/>
          <w:color w:val="000000" w:themeColor="text1"/>
          <w:sz w:val="20"/>
          <w:szCs w:val="20"/>
        </w:rPr>
        <w:t>Comparar</w:t>
      </w:r>
      <w:r w:rsidRPr="00F3152C">
        <w:rPr>
          <w:rFonts w:ascii="Verdana" w:hAnsi="Verdana"/>
          <w:color w:val="000000" w:themeColor="text1"/>
          <w:sz w:val="20"/>
          <w:szCs w:val="20"/>
        </w:rPr>
        <w:t xml:space="preserve"> la</w:t>
      </w:r>
      <w:r w:rsidR="00510F39">
        <w:rPr>
          <w:rFonts w:ascii="Verdana" w:hAnsi="Verdana"/>
          <w:color w:val="000000" w:themeColor="text1"/>
          <w:sz w:val="20"/>
          <w:szCs w:val="20"/>
        </w:rPr>
        <w:t xml:space="preserve"> narración A</w:t>
      </w:r>
      <w:r w:rsidRPr="00F3152C">
        <w:rPr>
          <w:rFonts w:ascii="Verdana" w:hAnsi="Verdana"/>
          <w:color w:val="000000" w:themeColor="text1"/>
          <w:sz w:val="20"/>
          <w:szCs w:val="20"/>
        </w:rPr>
        <w:t xml:space="preserve"> con la</w:t>
      </w:r>
      <w:r w:rsidR="00510F39">
        <w:rPr>
          <w:rFonts w:ascii="Verdana" w:hAnsi="Verdana"/>
          <w:color w:val="000000" w:themeColor="text1"/>
          <w:sz w:val="20"/>
          <w:szCs w:val="20"/>
        </w:rPr>
        <w:t xml:space="preserve"> narración B</w:t>
      </w:r>
      <w:r w:rsidRPr="00F3152C">
        <w:rPr>
          <w:rFonts w:ascii="Verdana" w:hAnsi="Verdana"/>
          <w:color w:val="000000" w:themeColor="text1"/>
          <w:sz w:val="20"/>
          <w:szCs w:val="20"/>
        </w:rPr>
        <w:t xml:space="preserve">, estableciendo  cuatro diferencias con sus respectivos criterios, respondiendo en el recuadro adjunto, potenciando la </w:t>
      </w:r>
      <w:r w:rsidRPr="002B4572">
        <w:rPr>
          <w:rFonts w:ascii="Verdana" w:hAnsi="Verdana"/>
          <w:b/>
          <w:color w:val="000000" w:themeColor="text1"/>
          <w:sz w:val="20"/>
          <w:szCs w:val="20"/>
        </w:rPr>
        <w:t>perseverancia</w:t>
      </w:r>
      <w:r w:rsidRPr="00F3152C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:rsidR="00F3152C" w:rsidRPr="00F3152C" w:rsidRDefault="00F3152C" w:rsidP="00F3152C">
      <w:pPr>
        <w:pStyle w:val="Prrafodelista"/>
        <w:spacing w:after="0" w:line="240" w:lineRule="auto"/>
        <w:ind w:left="1080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F3152C" w:rsidRPr="00134CBD" w:rsidTr="009E19F8"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34CB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Criterios de diferenciación</w:t>
            </w:r>
          </w:p>
        </w:tc>
        <w:tc>
          <w:tcPr>
            <w:tcW w:w="3484" w:type="dxa"/>
          </w:tcPr>
          <w:p w:rsidR="00F3152C" w:rsidRPr="00134CBD" w:rsidRDefault="00510F39" w:rsidP="009E19F8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Narración A</w:t>
            </w:r>
          </w:p>
        </w:tc>
        <w:tc>
          <w:tcPr>
            <w:tcW w:w="3484" w:type="dxa"/>
          </w:tcPr>
          <w:p w:rsidR="00F3152C" w:rsidRPr="00134CBD" w:rsidRDefault="00510F39" w:rsidP="009E19F8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Narración B</w:t>
            </w:r>
          </w:p>
        </w:tc>
      </w:tr>
      <w:tr w:rsidR="00F3152C" w:rsidRPr="00134CBD" w:rsidTr="009E19F8"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3152C" w:rsidRPr="00134CBD" w:rsidTr="009E19F8"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3152C" w:rsidRPr="00134CBD" w:rsidTr="009E19F8"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3152C" w:rsidRPr="00134CBD" w:rsidTr="009E19F8"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84" w:type="dxa"/>
          </w:tcPr>
          <w:p w:rsidR="00F3152C" w:rsidRPr="00134CBD" w:rsidRDefault="00F3152C" w:rsidP="009E19F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:rsidR="00F3152C" w:rsidRPr="00134CBD" w:rsidRDefault="00F3152C" w:rsidP="00F3152C">
      <w:pPr>
        <w:rPr>
          <w:rFonts w:ascii="Verdana" w:hAnsi="Verdana"/>
          <w:color w:val="000000" w:themeColor="text1"/>
          <w:sz w:val="20"/>
          <w:szCs w:val="20"/>
        </w:rPr>
      </w:pPr>
    </w:p>
    <w:p w:rsidR="00F3152C" w:rsidRDefault="00DF6288" w:rsidP="00DF628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 w:rsidRPr="00DF6288">
        <w:rPr>
          <w:rFonts w:ascii="Verdana" w:hAnsi="Verdana"/>
          <w:b/>
          <w:sz w:val="20"/>
          <w:szCs w:val="20"/>
          <w:lang w:val="es-ES_tradnl"/>
        </w:rPr>
        <w:t>Inferir</w:t>
      </w:r>
      <w:r>
        <w:rPr>
          <w:rFonts w:ascii="Verdana" w:hAnsi="Verdana"/>
          <w:sz w:val="20"/>
          <w:szCs w:val="20"/>
          <w:lang w:val="es-ES_tradnl"/>
        </w:rPr>
        <w:t xml:space="preserve">, de los textos anteriores, tres rasgos de las ciencias naturales y tres rasgos de las ciencias sociales, completando las líneas asignadas, desarrollando la </w:t>
      </w:r>
      <w:r w:rsidRPr="002B4572">
        <w:rPr>
          <w:rFonts w:ascii="Verdana" w:hAnsi="Verdana"/>
          <w:b/>
          <w:sz w:val="20"/>
          <w:szCs w:val="20"/>
          <w:lang w:val="es-ES_tradnl"/>
        </w:rPr>
        <w:t>responsabilidad</w:t>
      </w:r>
      <w:r>
        <w:rPr>
          <w:rFonts w:ascii="Verdana" w:hAnsi="Verdana"/>
          <w:sz w:val="20"/>
          <w:szCs w:val="20"/>
          <w:lang w:val="es-ES_tradnl"/>
        </w:rPr>
        <w:t>.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_________________________________________________________________________________</w:t>
      </w:r>
    </w:p>
    <w:p w:rsidR="006C09B7" w:rsidRDefault="006C09B7" w:rsidP="006C09B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  <w:r w:rsidRPr="00DF6288">
        <w:rPr>
          <w:rFonts w:ascii="Verdana" w:hAnsi="Verdana"/>
          <w:b/>
          <w:bCs/>
          <w:sz w:val="20"/>
          <w:szCs w:val="20"/>
          <w:lang w:val="es-ES"/>
        </w:rPr>
        <w:t>Ciencias humanas: ¿Deberíamos buscar razones o causas del comportamiento humano?</w:t>
      </w:r>
    </w:p>
    <w:p w:rsid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DF6288">
        <w:rPr>
          <w:rFonts w:ascii="Verdana" w:hAnsi="Verdana"/>
          <w:sz w:val="20"/>
          <w:szCs w:val="20"/>
          <w:lang w:val="es-ES"/>
        </w:rPr>
        <w:t xml:space="preserve">1. El filósofo Gilbert </w:t>
      </w:r>
      <w:proofErr w:type="spellStart"/>
      <w:r w:rsidRPr="00DF6288">
        <w:rPr>
          <w:rFonts w:ascii="Verdana" w:hAnsi="Verdana"/>
          <w:sz w:val="20"/>
          <w:szCs w:val="20"/>
          <w:lang w:val="es-ES"/>
        </w:rPr>
        <w:t>Ryle</w:t>
      </w:r>
      <w:proofErr w:type="spellEnd"/>
      <w:r w:rsidRPr="00DF6288">
        <w:rPr>
          <w:rFonts w:ascii="Verdana" w:hAnsi="Verdana"/>
          <w:sz w:val="20"/>
          <w:szCs w:val="20"/>
          <w:lang w:val="es-ES"/>
        </w:rPr>
        <w:t xml:space="preserve"> aseveró que la diferencia entre una razón y una causa es análoga a la</w:t>
      </w:r>
      <w:r w:rsidR="008E713E"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diferencia entre un pestañeo (parpadeo) y un guiño. Un pestañeo se explica señalado su causa;</w:t>
      </w:r>
      <w:r w:rsidR="008E713E"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no requiere elaborar más intenciones y razones que en el caso de explicar un eclipse. Por el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contrario, un guiño sólo puede ser entendido y explicado refiriéndose a las intenciones o razones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que tuvo la persona que lo hizo.</w:t>
      </w:r>
    </w:p>
    <w:p w:rsidR="00CF57C2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DF6288">
        <w:rPr>
          <w:rFonts w:ascii="Verdana" w:hAnsi="Verdana"/>
          <w:sz w:val="20"/>
          <w:szCs w:val="20"/>
          <w:lang w:val="es-ES"/>
        </w:rPr>
        <w:lastRenderedPageBreak/>
        <w:t xml:space="preserve">2. B F </w:t>
      </w:r>
      <w:proofErr w:type="spellStart"/>
      <w:r w:rsidRPr="00DF6288">
        <w:rPr>
          <w:rFonts w:ascii="Verdana" w:hAnsi="Verdana"/>
          <w:sz w:val="20"/>
          <w:szCs w:val="20"/>
          <w:lang w:val="es-ES"/>
        </w:rPr>
        <w:t>Skinner</w:t>
      </w:r>
      <w:proofErr w:type="spellEnd"/>
      <w:r w:rsidRPr="00DF6288">
        <w:rPr>
          <w:rFonts w:ascii="Verdana" w:hAnsi="Verdana"/>
          <w:sz w:val="20"/>
          <w:szCs w:val="20"/>
          <w:lang w:val="es-ES"/>
        </w:rPr>
        <w:t>, psicólogo conductista tenía la siguiente posición sobre la explicación causal: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“Supongamos que hay una persona y un vaso de agua. ¿Lo tomará? Existen dos posibilidades: sí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o no. No nos ayuda decir que quiere tomarlo porque tiene sed, porque la sed es un estado interior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 xml:space="preserve">de </w:t>
      </w:r>
    </w:p>
    <w:p w:rsidR="00CF57C2" w:rsidRDefault="00CF57C2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CF57C2" w:rsidRDefault="00CF57C2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CF57C2" w:rsidRDefault="00CF57C2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CF57C2" w:rsidRDefault="00CF57C2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proofErr w:type="gramStart"/>
      <w:r w:rsidRPr="00DF6288">
        <w:rPr>
          <w:rFonts w:ascii="Verdana" w:hAnsi="Verdana"/>
          <w:sz w:val="20"/>
          <w:szCs w:val="20"/>
          <w:lang w:val="es-ES"/>
        </w:rPr>
        <w:t>una</w:t>
      </w:r>
      <w:proofErr w:type="gramEnd"/>
      <w:r w:rsidRPr="00DF6288">
        <w:rPr>
          <w:rFonts w:ascii="Verdana" w:hAnsi="Verdana"/>
          <w:sz w:val="20"/>
          <w:szCs w:val="20"/>
          <w:lang w:val="es-ES"/>
        </w:rPr>
        <w:t xml:space="preserve"> persona imposible de ser cuantificado y, por ende, debe evitarse en pos de la explicación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científica –que requiere de precisión cuantitativa”.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 xml:space="preserve">Debido a que las intenciones son difíciles de identificar y manipular, afirma </w:t>
      </w:r>
      <w:proofErr w:type="spellStart"/>
      <w:r w:rsidRPr="00DF6288">
        <w:rPr>
          <w:rFonts w:ascii="Verdana" w:hAnsi="Verdana"/>
          <w:sz w:val="20"/>
          <w:szCs w:val="20"/>
          <w:lang w:val="es-ES"/>
        </w:rPr>
        <w:t>Skinner</w:t>
      </w:r>
      <w:proofErr w:type="spellEnd"/>
      <w:r w:rsidRPr="00DF6288">
        <w:rPr>
          <w:rFonts w:ascii="Verdana" w:hAnsi="Verdana"/>
          <w:sz w:val="20"/>
          <w:szCs w:val="20"/>
          <w:lang w:val="es-ES"/>
        </w:rPr>
        <w:t>, debemos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observar el contexto y las condiciones externas de la situación. Podríamos preguntarnos si la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 xml:space="preserve">persona ha estado haciendo ejercicio, si ha perdido sangre, 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proofErr w:type="gramStart"/>
      <w:r w:rsidRPr="00DF6288">
        <w:rPr>
          <w:rFonts w:ascii="Verdana" w:hAnsi="Verdana"/>
          <w:sz w:val="20"/>
          <w:szCs w:val="20"/>
          <w:lang w:val="es-ES"/>
        </w:rPr>
        <w:t>si</w:t>
      </w:r>
      <w:proofErr w:type="gramEnd"/>
      <w:r w:rsidRPr="00DF6288">
        <w:rPr>
          <w:rFonts w:ascii="Verdana" w:hAnsi="Verdana"/>
          <w:sz w:val="20"/>
          <w:szCs w:val="20"/>
          <w:lang w:val="es-ES"/>
        </w:rPr>
        <w:t xml:space="preserve"> está transpirando o si ha ingerido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una comida salada. ¿La sala está muy calorosa? O ¿la persona ha estado tomando trago? Las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causas que debemos buscar son externas a la persona y son éstas las que nos proveerán una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explicación verificable con capacidad predictiva.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En suma, en vez de decir que un hombre toma porque tiene sed, deberíamos decir, hipotéticamente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que toma porque ha estado haciendo ejercicio. Esta afirmación sí es capaz de ser confirmada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 xml:space="preserve">o falseada. Según </w:t>
      </w:r>
      <w:proofErr w:type="spellStart"/>
      <w:r w:rsidRPr="00DF6288">
        <w:rPr>
          <w:rFonts w:ascii="Verdana" w:hAnsi="Verdana"/>
          <w:sz w:val="20"/>
          <w:szCs w:val="20"/>
          <w:lang w:val="es-ES"/>
        </w:rPr>
        <w:t>Skinner</w:t>
      </w:r>
      <w:proofErr w:type="spellEnd"/>
      <w:r w:rsidRPr="00DF6288">
        <w:rPr>
          <w:rFonts w:ascii="Verdana" w:hAnsi="Verdana"/>
          <w:sz w:val="20"/>
          <w:szCs w:val="20"/>
          <w:lang w:val="es-ES"/>
        </w:rPr>
        <w:t xml:space="preserve"> para mantenernos dentro de las fronteras de la ciencia, los estados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 xml:space="preserve">interiores de una persona como sus emociones, intenciones y razones deben ser </w:t>
      </w:r>
      <w:proofErr w:type="gramStart"/>
      <w:r w:rsidRPr="00DF6288">
        <w:rPr>
          <w:rFonts w:ascii="Verdana" w:hAnsi="Verdana"/>
          <w:sz w:val="20"/>
          <w:szCs w:val="20"/>
          <w:lang w:val="es-ES"/>
        </w:rPr>
        <w:t>reemplazados</w:t>
      </w:r>
      <w:proofErr w:type="gramEnd"/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por factores externos capaces de ser medidos y verificados.</w:t>
      </w:r>
    </w:p>
    <w:p w:rsidR="00DF6288" w:rsidRPr="00DF6288" w:rsidRDefault="00DF6288" w:rsidP="00DF6288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 w:rsidRPr="00DF6288">
        <w:rPr>
          <w:rFonts w:ascii="Verdana" w:hAnsi="Verdana"/>
          <w:sz w:val="20"/>
          <w:szCs w:val="20"/>
          <w:lang w:val="es-ES"/>
        </w:rPr>
        <w:t>3. A J Ayer, filósofo, sobre la comprensión de razones: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“Supongamos que hay una persona y un vaso de vino. O lo toma o no lo toma. Si lo toma, esta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acción podría ser (entre muchas posibilidades) una expresión de cortesía, una demostración de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lealtad o honor, un rito religioso, un gesto de desesperación, un acto de placer, parte de una cata,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un intento de seducir, corromper, hacerse de coraje, etc. Cualquiera de estas posibilidades podría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ser aceptadas como una buena explicación; empero, para descubrir el (verdadero) significado de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la acción podríamos tener que saber la razón por la cual se hizo. Eso es, quizás la acción sólo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podría ser explicada en términos de la intención de la persona que actuó, haciendo referencia a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las normas sociales y convenciones, o una combinación de ambas”.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Esta es la idea de que la comprensión del comportamiento humano debe a veces ir más allá de la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búsqueda de causas como hacen las ciencias naturales, en las cuales la búsqueda de leyes causales,</w:t>
      </w:r>
      <w:r>
        <w:rPr>
          <w:rFonts w:ascii="Verdana" w:hAnsi="Verdana"/>
          <w:sz w:val="20"/>
          <w:szCs w:val="20"/>
          <w:lang w:val="es-ES"/>
        </w:rPr>
        <w:t xml:space="preserve"> </w:t>
      </w:r>
      <w:r w:rsidRPr="00DF6288">
        <w:rPr>
          <w:rFonts w:ascii="Verdana" w:hAnsi="Verdana"/>
          <w:sz w:val="20"/>
          <w:szCs w:val="20"/>
          <w:lang w:val="es-ES"/>
        </w:rPr>
        <w:t>la predicción y el control pueden ser los objetivos primordiales.</w:t>
      </w:r>
    </w:p>
    <w:p w:rsidR="00DF6288" w:rsidRDefault="00DF6288" w:rsidP="00DF6288">
      <w:pPr>
        <w:spacing w:after="0" w:line="240" w:lineRule="auto"/>
        <w:jc w:val="right"/>
        <w:rPr>
          <w:rFonts w:ascii="Verdana" w:hAnsi="Verdana"/>
          <w:sz w:val="20"/>
          <w:szCs w:val="20"/>
          <w:lang w:val="es-ES"/>
        </w:rPr>
      </w:pPr>
      <w:r w:rsidRPr="00DF6288">
        <w:rPr>
          <w:rFonts w:ascii="Verdana" w:hAnsi="Verdana"/>
          <w:sz w:val="20"/>
          <w:szCs w:val="20"/>
          <w:lang w:val="es-ES"/>
        </w:rPr>
        <w:t xml:space="preserve">Elaboración Unidad de Currículum y Evaluación, </w:t>
      </w:r>
      <w:proofErr w:type="spellStart"/>
      <w:r w:rsidRPr="00DF6288">
        <w:rPr>
          <w:rFonts w:ascii="Verdana" w:hAnsi="Verdana"/>
          <w:sz w:val="20"/>
          <w:szCs w:val="20"/>
          <w:lang w:val="es-ES"/>
        </w:rPr>
        <w:t>Mineduc</w:t>
      </w:r>
      <w:proofErr w:type="spellEnd"/>
      <w:r w:rsidRPr="00DF6288">
        <w:rPr>
          <w:rFonts w:ascii="Verdana" w:hAnsi="Verdana"/>
          <w:sz w:val="20"/>
          <w:szCs w:val="20"/>
          <w:lang w:val="es-ES"/>
        </w:rPr>
        <w:t>,</w:t>
      </w:r>
      <w:r>
        <w:rPr>
          <w:rFonts w:ascii="Verdana" w:hAnsi="Verdana"/>
          <w:sz w:val="20"/>
          <w:szCs w:val="20"/>
          <w:lang w:val="es-ES"/>
        </w:rPr>
        <w:t xml:space="preserve"> 2001.</w:t>
      </w:r>
    </w:p>
    <w:p w:rsidR="008E713E" w:rsidRDefault="008E713E" w:rsidP="00DF6288">
      <w:pPr>
        <w:spacing w:after="0" w:line="240" w:lineRule="auto"/>
        <w:jc w:val="right"/>
        <w:rPr>
          <w:rFonts w:ascii="Verdana" w:hAnsi="Verdana"/>
          <w:sz w:val="20"/>
          <w:szCs w:val="20"/>
          <w:lang w:val="es-ES"/>
        </w:rPr>
      </w:pPr>
    </w:p>
    <w:p w:rsidR="008E713E" w:rsidRDefault="008E713E" w:rsidP="008E713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Argumentar </w:t>
      </w:r>
      <w:r>
        <w:rPr>
          <w:rFonts w:ascii="Verdana" w:hAnsi="Verdana"/>
          <w:sz w:val="20"/>
          <w:szCs w:val="20"/>
        </w:rPr>
        <w:t xml:space="preserve">si en las ciencias humanas es mejor buscar razones o causas del comportamiento humano, fundamentando exhaustivamente en las líneas adjuntas, potenciando la </w:t>
      </w:r>
      <w:r w:rsidRPr="002B4572">
        <w:rPr>
          <w:rFonts w:ascii="Verdana" w:hAnsi="Verdana"/>
          <w:b/>
          <w:sz w:val="20"/>
          <w:szCs w:val="20"/>
        </w:rPr>
        <w:t>perseverancia</w:t>
      </w:r>
      <w:r>
        <w:rPr>
          <w:rFonts w:ascii="Verdana" w:hAnsi="Verdana"/>
          <w:sz w:val="20"/>
          <w:szCs w:val="20"/>
        </w:rPr>
        <w:t xml:space="preserve">. </w:t>
      </w:r>
    </w:p>
    <w:p w:rsid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</w:t>
      </w:r>
    </w:p>
    <w:p w:rsidR="008E713E" w:rsidRPr="008E713E" w:rsidRDefault="008E713E" w:rsidP="008E71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8E713E" w:rsidRPr="008E713E" w:rsidSect="00E92E83">
      <w:pgSz w:w="12240" w:h="20160" w:code="5"/>
      <w:pgMar w:top="680" w:right="964" w:bottom="113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F0" w:rsidRDefault="003B19F0" w:rsidP="002B4572">
      <w:pPr>
        <w:spacing w:after="0" w:line="240" w:lineRule="auto"/>
      </w:pPr>
      <w:r>
        <w:separator/>
      </w:r>
    </w:p>
  </w:endnote>
  <w:endnote w:type="continuationSeparator" w:id="0">
    <w:p w:rsidR="003B19F0" w:rsidRDefault="003B19F0" w:rsidP="002B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F0" w:rsidRDefault="003B19F0" w:rsidP="002B4572">
      <w:pPr>
        <w:spacing w:after="0" w:line="240" w:lineRule="auto"/>
      </w:pPr>
      <w:r>
        <w:separator/>
      </w:r>
    </w:p>
  </w:footnote>
  <w:footnote w:type="continuationSeparator" w:id="0">
    <w:p w:rsidR="003B19F0" w:rsidRDefault="003B19F0" w:rsidP="002B4572">
      <w:pPr>
        <w:spacing w:after="0" w:line="240" w:lineRule="auto"/>
      </w:pPr>
      <w:r>
        <w:continuationSeparator/>
      </w:r>
    </w:p>
  </w:footnote>
  <w:footnote w:id="1">
    <w:p w:rsidR="002B4572" w:rsidRDefault="002B4572" w:rsidP="002B4572">
      <w:pPr>
        <w:pStyle w:val="Textonotapie"/>
      </w:pPr>
      <w:r>
        <w:rPr>
          <w:rStyle w:val="Refdenotaalpie"/>
        </w:rPr>
        <w:footnoteRef/>
      </w:r>
      <w:r>
        <w:t xml:space="preserve"> Se sugiere completar esta guía entre el miércoles 18 y el viernes 20 de marzo, para evitar posterior sobrecarga académica.</w:t>
      </w:r>
    </w:p>
    <w:p w:rsidR="002B4572" w:rsidRDefault="002B4572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CC8"/>
    <w:multiLevelType w:val="hybridMultilevel"/>
    <w:tmpl w:val="E398BC78"/>
    <w:lvl w:ilvl="0" w:tplc="ABB839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2030"/>
    <w:multiLevelType w:val="hybridMultilevel"/>
    <w:tmpl w:val="AD005830"/>
    <w:lvl w:ilvl="0" w:tplc="FD7C25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F1687"/>
    <w:multiLevelType w:val="hybridMultilevel"/>
    <w:tmpl w:val="240E847A"/>
    <w:lvl w:ilvl="0" w:tplc="AE185F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83"/>
    <w:rsid w:val="00157277"/>
    <w:rsid w:val="001909A9"/>
    <w:rsid w:val="002666A9"/>
    <w:rsid w:val="002B4572"/>
    <w:rsid w:val="002F2E7E"/>
    <w:rsid w:val="0036319B"/>
    <w:rsid w:val="003B19F0"/>
    <w:rsid w:val="00430382"/>
    <w:rsid w:val="00505322"/>
    <w:rsid w:val="00510F39"/>
    <w:rsid w:val="00533AA9"/>
    <w:rsid w:val="005663C5"/>
    <w:rsid w:val="00660042"/>
    <w:rsid w:val="00662E6F"/>
    <w:rsid w:val="006668D8"/>
    <w:rsid w:val="006B05B1"/>
    <w:rsid w:val="006C09B7"/>
    <w:rsid w:val="006D0C68"/>
    <w:rsid w:val="00836B0C"/>
    <w:rsid w:val="008E713E"/>
    <w:rsid w:val="00B43B7C"/>
    <w:rsid w:val="00B87268"/>
    <w:rsid w:val="00C07855"/>
    <w:rsid w:val="00C942FF"/>
    <w:rsid w:val="00CF57C2"/>
    <w:rsid w:val="00D174A1"/>
    <w:rsid w:val="00D93FCF"/>
    <w:rsid w:val="00DF6288"/>
    <w:rsid w:val="00E92C3D"/>
    <w:rsid w:val="00E92E83"/>
    <w:rsid w:val="00F3152C"/>
    <w:rsid w:val="00F71720"/>
    <w:rsid w:val="00F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E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6B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1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B457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45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45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45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E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6B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1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B457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45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45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4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f.jsegovi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7541B-39B2-4C9F-B9A5-E30AD424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1838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23</cp:revision>
  <dcterms:created xsi:type="dcterms:W3CDTF">2014-09-01T15:35:00Z</dcterms:created>
  <dcterms:modified xsi:type="dcterms:W3CDTF">2020-03-17T22:16:00Z</dcterms:modified>
</cp:coreProperties>
</file>