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9B" w:rsidRDefault="007678E2" w:rsidP="00E92E83">
      <w:pPr>
        <w:spacing w:after="0" w:line="240" w:lineRule="auto"/>
        <w:rPr>
          <w:rFonts w:ascii="Verdana" w:hAnsi="Verdana"/>
          <w:sz w:val="20"/>
          <w:szCs w:val="20"/>
        </w:rPr>
      </w:pPr>
      <w:r w:rsidRPr="00866F39">
        <w:rPr>
          <w:noProof/>
          <w:lang w:eastAsia="es-CL"/>
        </w:rPr>
        <w:drawing>
          <wp:inline distT="0" distB="0" distL="0" distR="0" wp14:anchorId="058C145F" wp14:editId="69F628AC">
            <wp:extent cx="476738" cy="539262"/>
            <wp:effectExtent l="0" t="0" r="0" b="0"/>
            <wp:docPr id="2" name="4 Imagen" descr="INSIGNIA-Instituto.png"/>
            <wp:cNvGraphicFramePr/>
            <a:graphic xmlns:a="http://schemas.openxmlformats.org/drawingml/2006/main">
              <a:graphicData uri="http://schemas.openxmlformats.org/drawingml/2006/picture">
                <pic:pic xmlns:pic="http://schemas.openxmlformats.org/drawingml/2006/picture">
                  <pic:nvPicPr>
                    <pic:cNvPr id="2" name="4 Imagen" descr="INSIGNIA-Instituto.png"/>
                    <pic:cNvPicPr/>
                  </pic:nvPicPr>
                  <pic:blipFill>
                    <a:blip r:embed="rId6"/>
                    <a:stretch>
                      <a:fillRect/>
                    </a:stretch>
                  </pic:blipFill>
                  <pic:spPr>
                    <a:xfrm>
                      <a:off x="0" y="0"/>
                      <a:ext cx="476860" cy="539400"/>
                    </a:xfrm>
                    <a:prstGeom prst="rect">
                      <a:avLst/>
                    </a:prstGeom>
                  </pic:spPr>
                </pic:pic>
              </a:graphicData>
            </a:graphic>
          </wp:inline>
        </w:drawing>
      </w:r>
    </w:p>
    <w:p w:rsidR="00E92E83" w:rsidRPr="009A0E5D" w:rsidRDefault="00E92E83" w:rsidP="00E92E83">
      <w:pPr>
        <w:spacing w:after="0"/>
        <w:rPr>
          <w:rFonts w:ascii="Verdana" w:eastAsia="Calibri" w:hAnsi="Verdana"/>
          <w:sz w:val="20"/>
          <w:szCs w:val="20"/>
        </w:rPr>
      </w:pPr>
      <w:r>
        <w:rPr>
          <w:rFonts w:ascii="Verdana" w:eastAsia="Calibri" w:hAnsi="Verdana"/>
          <w:sz w:val="20"/>
          <w:szCs w:val="20"/>
        </w:rPr>
        <w:t>I</w:t>
      </w:r>
      <w:r w:rsidRPr="009A0E5D">
        <w:rPr>
          <w:rFonts w:ascii="Verdana" w:eastAsia="Calibri" w:hAnsi="Verdana"/>
          <w:sz w:val="20"/>
          <w:szCs w:val="20"/>
        </w:rPr>
        <w:t>NSTITUTO INMACULADA CONCEPCIÓN DE VALDIVIA</w:t>
      </w:r>
    </w:p>
    <w:p w:rsidR="00E92E83" w:rsidRPr="009A0E5D" w:rsidRDefault="00E92E83" w:rsidP="00E92E83">
      <w:pPr>
        <w:spacing w:after="0"/>
        <w:rPr>
          <w:rFonts w:ascii="Verdana" w:eastAsia="Calibri" w:hAnsi="Verdana"/>
          <w:sz w:val="20"/>
          <w:szCs w:val="20"/>
        </w:rPr>
      </w:pPr>
      <w:r w:rsidRPr="009A0E5D">
        <w:rPr>
          <w:rFonts w:ascii="Verdana" w:eastAsia="Calibri" w:hAnsi="Verdana"/>
          <w:sz w:val="20"/>
          <w:szCs w:val="20"/>
        </w:rPr>
        <w:t>_________________</w:t>
      </w:r>
    </w:p>
    <w:p w:rsidR="00E92E83" w:rsidRDefault="00431EDF" w:rsidP="00E92E83">
      <w:pPr>
        <w:spacing w:after="0"/>
        <w:rPr>
          <w:rFonts w:ascii="Verdana" w:eastAsia="Calibri" w:hAnsi="Verdana"/>
          <w:sz w:val="20"/>
          <w:szCs w:val="20"/>
        </w:rPr>
      </w:pPr>
      <w:r>
        <w:rPr>
          <w:rFonts w:ascii="Verdana" w:eastAsia="Calibri" w:hAnsi="Verdana"/>
          <w:sz w:val="20"/>
          <w:szCs w:val="20"/>
        </w:rPr>
        <w:t xml:space="preserve">Problemas del Conocimiento, </w:t>
      </w:r>
      <w:r w:rsidR="00E92E83">
        <w:rPr>
          <w:rFonts w:ascii="Verdana" w:eastAsia="Calibri" w:hAnsi="Verdana"/>
          <w:sz w:val="20"/>
          <w:szCs w:val="20"/>
        </w:rPr>
        <w:t>III Medio</w:t>
      </w:r>
    </w:p>
    <w:p w:rsidR="007678E2" w:rsidRDefault="007678E2" w:rsidP="00E92E83">
      <w:pPr>
        <w:spacing w:after="0"/>
        <w:rPr>
          <w:rFonts w:ascii="Verdana" w:hAnsi="Verdana"/>
          <w:sz w:val="20"/>
          <w:szCs w:val="20"/>
        </w:rPr>
      </w:pPr>
      <w:r>
        <w:rPr>
          <w:rFonts w:ascii="Verdana" w:hAnsi="Verdana"/>
          <w:sz w:val="20"/>
          <w:szCs w:val="20"/>
        </w:rPr>
        <w:t>Unidad Cero de Argumentación IV Medio</w:t>
      </w:r>
    </w:p>
    <w:p w:rsidR="007678E2" w:rsidRDefault="007678E2" w:rsidP="00E92E83">
      <w:pPr>
        <w:spacing w:after="0"/>
        <w:rPr>
          <w:rFonts w:ascii="Verdana" w:hAnsi="Verdana"/>
          <w:sz w:val="20"/>
          <w:szCs w:val="20"/>
        </w:rPr>
      </w:pPr>
      <w:r>
        <w:rPr>
          <w:rFonts w:ascii="Verdana" w:hAnsi="Verdana"/>
          <w:sz w:val="20"/>
          <w:szCs w:val="20"/>
        </w:rPr>
        <w:t>“El Conocimiento Científico en Perspectiva”</w:t>
      </w:r>
    </w:p>
    <w:p w:rsidR="00E92E83" w:rsidRDefault="00E92E83" w:rsidP="00E92E83">
      <w:pPr>
        <w:spacing w:after="0"/>
        <w:rPr>
          <w:rFonts w:ascii="Verdana" w:hAnsi="Verdana"/>
          <w:sz w:val="20"/>
          <w:szCs w:val="20"/>
        </w:rPr>
      </w:pPr>
      <w:r>
        <w:rPr>
          <w:rFonts w:ascii="Verdana" w:hAnsi="Verdana"/>
          <w:sz w:val="20"/>
          <w:szCs w:val="20"/>
        </w:rPr>
        <w:t>Prof. Jonathan Segovia S.</w:t>
      </w:r>
    </w:p>
    <w:p w:rsidR="00E92E83" w:rsidRDefault="00E92E83" w:rsidP="00E92E83">
      <w:pPr>
        <w:spacing w:after="0"/>
        <w:rPr>
          <w:rFonts w:ascii="Verdana" w:hAnsi="Verdana"/>
          <w:sz w:val="20"/>
          <w:szCs w:val="20"/>
        </w:rPr>
      </w:pPr>
    </w:p>
    <w:p w:rsidR="00431EDF" w:rsidRDefault="00431EDF" w:rsidP="00E92E83">
      <w:pPr>
        <w:spacing w:after="0"/>
        <w:jc w:val="center"/>
        <w:rPr>
          <w:rFonts w:ascii="Verdana" w:hAnsi="Verdana"/>
          <w:b/>
          <w:sz w:val="24"/>
          <w:szCs w:val="24"/>
          <w:u w:val="single"/>
        </w:rPr>
      </w:pPr>
      <w:bookmarkStart w:id="0" w:name="_GoBack"/>
      <w:bookmarkEnd w:id="0"/>
      <w:r>
        <w:rPr>
          <w:rFonts w:ascii="Verdana" w:hAnsi="Verdana"/>
          <w:b/>
          <w:sz w:val="24"/>
          <w:szCs w:val="24"/>
          <w:u w:val="single"/>
        </w:rPr>
        <w:t>Apunte Complementario</w:t>
      </w:r>
    </w:p>
    <w:p w:rsidR="00E92E83" w:rsidRPr="00B73DDF" w:rsidRDefault="00E92E83" w:rsidP="00E92E83">
      <w:pPr>
        <w:spacing w:after="0"/>
        <w:jc w:val="center"/>
        <w:rPr>
          <w:rFonts w:ascii="Verdana" w:hAnsi="Verdana"/>
          <w:b/>
          <w:sz w:val="24"/>
          <w:szCs w:val="24"/>
          <w:u w:val="single"/>
        </w:rPr>
      </w:pPr>
      <w:r>
        <w:rPr>
          <w:rFonts w:ascii="Verdana" w:hAnsi="Verdana"/>
          <w:b/>
          <w:sz w:val="24"/>
          <w:szCs w:val="24"/>
          <w:u w:val="single"/>
        </w:rPr>
        <w:t>“</w:t>
      </w:r>
      <w:r w:rsidR="00F3152C">
        <w:rPr>
          <w:rFonts w:ascii="Verdana" w:hAnsi="Verdana"/>
          <w:b/>
          <w:sz w:val="24"/>
          <w:szCs w:val="24"/>
          <w:u w:val="single"/>
        </w:rPr>
        <w:t>Ciencias Formales y Ciencias Fácticas</w:t>
      </w:r>
      <w:r>
        <w:rPr>
          <w:rFonts w:ascii="Verdana" w:hAnsi="Verdana"/>
          <w:b/>
          <w:sz w:val="24"/>
          <w:szCs w:val="24"/>
          <w:u w:val="single"/>
        </w:rPr>
        <w:t>”</w:t>
      </w:r>
    </w:p>
    <w:p w:rsidR="00E92E83" w:rsidRDefault="00E92E83" w:rsidP="00E92E83">
      <w:pPr>
        <w:spacing w:after="0"/>
        <w:rPr>
          <w:rFonts w:ascii="Verdana" w:hAnsi="Verdana"/>
          <w:sz w:val="20"/>
          <w:szCs w:val="20"/>
        </w:rPr>
      </w:pPr>
    </w:p>
    <w:p w:rsidR="001E1BDE" w:rsidRPr="001E1BDE" w:rsidRDefault="001E1BDE" w:rsidP="001E1BDE">
      <w:pPr>
        <w:spacing w:after="0" w:line="240" w:lineRule="auto"/>
        <w:rPr>
          <w:rFonts w:ascii="Verdana" w:hAnsi="Verdana"/>
          <w:sz w:val="20"/>
          <w:szCs w:val="20"/>
        </w:rPr>
      </w:pPr>
      <w:r>
        <w:rPr>
          <w:rFonts w:ascii="Verdana" w:hAnsi="Verdana"/>
          <w:sz w:val="20"/>
          <w:szCs w:val="20"/>
        </w:rPr>
        <w:t>UNIDAD III: EL CONOCIMIENTO CIENTÍFICO EN PERSPECTIVA</w:t>
      </w:r>
    </w:p>
    <w:p w:rsidR="00E92E83" w:rsidRPr="001E1BDE" w:rsidRDefault="00E92E83" w:rsidP="00E92E83">
      <w:pPr>
        <w:spacing w:after="0"/>
        <w:rPr>
          <w:rFonts w:ascii="Verdana" w:hAnsi="Verdana"/>
          <w:sz w:val="20"/>
          <w:szCs w:val="20"/>
        </w:rPr>
      </w:pPr>
    </w:p>
    <w:p w:rsidR="00836B0C" w:rsidRDefault="00836B0C" w:rsidP="005663C5">
      <w:pPr>
        <w:spacing w:after="0" w:line="240" w:lineRule="auto"/>
        <w:jc w:val="both"/>
        <w:rPr>
          <w:rFonts w:ascii="Verdana" w:hAnsi="Verdana"/>
          <w:sz w:val="20"/>
          <w:szCs w:val="20"/>
          <w:lang w:val="es-ES_tradnl"/>
        </w:rPr>
      </w:pPr>
    </w:p>
    <w:p w:rsidR="00F3152C" w:rsidRPr="00F3152C" w:rsidRDefault="00F3152C" w:rsidP="00F3152C">
      <w:pPr>
        <w:autoSpaceDE w:val="0"/>
        <w:autoSpaceDN w:val="0"/>
        <w:adjustRightInd w:val="0"/>
        <w:spacing w:after="0" w:line="240" w:lineRule="auto"/>
        <w:rPr>
          <w:rFonts w:ascii="Verdana" w:hAnsi="Verdana"/>
          <w:b/>
          <w:bCs/>
          <w:color w:val="000000" w:themeColor="text1"/>
        </w:rPr>
      </w:pPr>
      <w:r w:rsidRPr="00F3152C">
        <w:rPr>
          <w:rFonts w:ascii="Verdana" w:hAnsi="Verdana"/>
          <w:b/>
          <w:bCs/>
          <w:color w:val="000000" w:themeColor="text1"/>
        </w:rPr>
        <w:t>Ciencia formal y ciencia fáctica</w:t>
      </w:r>
    </w:p>
    <w:p w:rsidR="00F3152C" w:rsidRPr="00F3152C" w:rsidRDefault="00F3152C" w:rsidP="00F3152C">
      <w:pPr>
        <w:autoSpaceDE w:val="0"/>
        <w:autoSpaceDN w:val="0"/>
        <w:adjustRightInd w:val="0"/>
        <w:spacing w:after="0" w:line="240" w:lineRule="auto"/>
        <w:rPr>
          <w:rFonts w:ascii="Verdana" w:hAnsi="Verdana"/>
          <w:b/>
          <w:bCs/>
          <w:color w:val="000000" w:themeColor="text1"/>
        </w:rPr>
      </w:pPr>
      <w:r w:rsidRPr="00F3152C">
        <w:rPr>
          <w:rFonts w:ascii="Verdana" w:hAnsi="Verdana"/>
          <w:b/>
          <w:bCs/>
          <w:color w:val="000000" w:themeColor="text1"/>
        </w:rPr>
        <w:t>Mario Bunge</w:t>
      </w:r>
    </w:p>
    <w:p w:rsidR="00F3152C" w:rsidRPr="00F3152C" w:rsidRDefault="00F3152C" w:rsidP="00F3152C">
      <w:pPr>
        <w:autoSpaceDE w:val="0"/>
        <w:autoSpaceDN w:val="0"/>
        <w:adjustRightInd w:val="0"/>
        <w:spacing w:after="0" w:line="240" w:lineRule="auto"/>
        <w:rPr>
          <w:rFonts w:ascii="Verdana" w:hAnsi="Verdana"/>
          <w:color w:val="000000" w:themeColor="text1"/>
        </w:rPr>
      </w:pPr>
    </w:p>
    <w:p w:rsidR="00F3152C" w:rsidRPr="00F3152C" w:rsidRDefault="00F3152C" w:rsidP="00F3152C">
      <w:pPr>
        <w:autoSpaceDE w:val="0"/>
        <w:autoSpaceDN w:val="0"/>
        <w:adjustRightInd w:val="0"/>
        <w:spacing w:after="0" w:line="240" w:lineRule="auto"/>
        <w:jc w:val="both"/>
        <w:rPr>
          <w:rFonts w:ascii="Verdana" w:hAnsi="Verdana"/>
          <w:color w:val="000000" w:themeColor="text1"/>
        </w:rPr>
      </w:pPr>
      <w:r w:rsidRPr="00F3152C">
        <w:rPr>
          <w:rFonts w:ascii="Verdana" w:hAnsi="Verdana"/>
          <w:color w:val="000000" w:themeColor="text1"/>
        </w:rPr>
        <w:t xml:space="preserve">     Tenemos así una primera gran división de las ciencias, en formales (o ideales) y fácticas (o materiales). Esta ramificación preliminar tiene en cuenta el objeto o tema de las respectivas disciplinas; también da cuenta de la diferencia de especie entre los enunciados que se proponen establecer las ciencias formales y las fácticas: mientras los enunciados formales consisten en relaciones entre signos, los enunciados de las ciencias fácticas se refieren, en su mayoría, a entes extra-científicos: a sucesos y procesos. Nuestra división también tiene en cuenta el método por el cual se ponen a prueba los enunciados verificables: mientras las ciencias formales se contentan con la lógica para demostrar rigurosamente sus teoremas, [...] las ciencias fácticas necesitan más que la lógica formal: para confirmar sus conjeturas necesitan de la observación y/o experimento.</w:t>
      </w:r>
    </w:p>
    <w:p w:rsidR="00F3152C" w:rsidRPr="00F3152C" w:rsidRDefault="00F3152C" w:rsidP="00F3152C">
      <w:pPr>
        <w:autoSpaceDE w:val="0"/>
        <w:autoSpaceDN w:val="0"/>
        <w:adjustRightInd w:val="0"/>
        <w:spacing w:after="0" w:line="240" w:lineRule="auto"/>
        <w:jc w:val="both"/>
        <w:rPr>
          <w:rFonts w:ascii="Verdana" w:hAnsi="Verdana"/>
          <w:i/>
          <w:iCs/>
          <w:color w:val="000000" w:themeColor="text1"/>
        </w:rPr>
      </w:pPr>
      <w:r w:rsidRPr="00F3152C">
        <w:rPr>
          <w:rFonts w:ascii="Verdana" w:hAnsi="Verdana"/>
          <w:i/>
          <w:iCs/>
          <w:color w:val="000000" w:themeColor="text1"/>
        </w:rPr>
        <w:t xml:space="preserve"> Cuando se demuestra un teorema lógico o matemático no se recurre a la experiencia: el conjunto de los postulados, definiciones, reglas de formación de las expresiones dotadas de significado y reglas de inferencia deductiva </w:t>
      </w:r>
      <w:r w:rsidRPr="00F3152C">
        <w:rPr>
          <w:rFonts w:ascii="Verdana" w:hAnsi="Verdana"/>
          <w:color w:val="000000" w:themeColor="text1"/>
        </w:rPr>
        <w:t>–</w:t>
      </w:r>
      <w:r w:rsidRPr="00F3152C">
        <w:rPr>
          <w:rFonts w:ascii="Verdana" w:hAnsi="Verdana"/>
          <w:i/>
          <w:iCs/>
          <w:color w:val="000000" w:themeColor="text1"/>
        </w:rPr>
        <w:t>en suma, la base de la teoría dada</w:t>
      </w:r>
      <w:r w:rsidRPr="00F3152C">
        <w:rPr>
          <w:rFonts w:ascii="Verdana" w:hAnsi="Verdana"/>
          <w:color w:val="000000" w:themeColor="text1"/>
        </w:rPr>
        <w:t xml:space="preserve">– </w:t>
      </w:r>
      <w:r w:rsidRPr="00F3152C">
        <w:rPr>
          <w:rFonts w:ascii="Verdana" w:hAnsi="Verdana"/>
          <w:i/>
          <w:iCs/>
          <w:color w:val="000000" w:themeColor="text1"/>
        </w:rPr>
        <w:t xml:space="preserve">es necesario y suficiente para ese propósito. La demostración de los teoremas no es sino una deducción: es una operación confinada a la esfera teórica [...] La matemática y la lógica son, en suma, ciencias </w:t>
      </w:r>
      <w:proofErr w:type="gramStart"/>
      <w:r w:rsidRPr="00F3152C">
        <w:rPr>
          <w:rFonts w:ascii="Verdana" w:hAnsi="Verdana"/>
          <w:i/>
          <w:iCs/>
          <w:color w:val="000000" w:themeColor="text1"/>
        </w:rPr>
        <w:t>deductivas[</w:t>
      </w:r>
      <w:proofErr w:type="gramEnd"/>
      <w:r w:rsidRPr="00F3152C">
        <w:rPr>
          <w:rFonts w:ascii="Verdana" w:hAnsi="Verdana"/>
          <w:i/>
          <w:iCs/>
          <w:color w:val="000000" w:themeColor="text1"/>
        </w:rPr>
        <w:t>...] En matemática la verdad consiste, por esto, en la coherencia del enunciado dado con un sistema de ideas admitido previamente […]</w:t>
      </w:r>
    </w:p>
    <w:p w:rsidR="00F3152C" w:rsidRPr="00F3152C" w:rsidRDefault="00F3152C" w:rsidP="00F3152C">
      <w:pPr>
        <w:autoSpaceDE w:val="0"/>
        <w:autoSpaceDN w:val="0"/>
        <w:adjustRightInd w:val="0"/>
        <w:spacing w:after="0" w:line="240" w:lineRule="auto"/>
        <w:jc w:val="both"/>
        <w:rPr>
          <w:rFonts w:ascii="Verdana" w:hAnsi="Verdana"/>
          <w:color w:val="000000" w:themeColor="text1"/>
        </w:rPr>
      </w:pPr>
      <w:r w:rsidRPr="00F3152C">
        <w:rPr>
          <w:rFonts w:ascii="Verdana" w:hAnsi="Verdana"/>
          <w:color w:val="000000" w:themeColor="text1"/>
        </w:rPr>
        <w:t xml:space="preserve">      En las ciencias fácticas, la situación es enteramente diferente. En primer lugar, ellas no emplean</w:t>
      </w:r>
      <w:r>
        <w:rPr>
          <w:rFonts w:ascii="Verdana" w:hAnsi="Verdana"/>
          <w:color w:val="000000" w:themeColor="text1"/>
        </w:rPr>
        <w:t xml:space="preserve"> </w:t>
      </w:r>
      <w:r w:rsidRPr="00F3152C">
        <w:rPr>
          <w:rFonts w:ascii="Verdana" w:hAnsi="Verdana"/>
          <w:color w:val="000000" w:themeColor="text1"/>
        </w:rPr>
        <w:t>símbolos vacíos (variables lógicas), sino tan solo símbolos interpretados; por ejemplo, no involucran</w:t>
      </w:r>
      <w:r>
        <w:rPr>
          <w:rFonts w:ascii="Verdana" w:hAnsi="Verdana"/>
          <w:color w:val="000000" w:themeColor="text1"/>
        </w:rPr>
        <w:t xml:space="preserve"> </w:t>
      </w:r>
      <w:r w:rsidRPr="00F3152C">
        <w:rPr>
          <w:rFonts w:ascii="Verdana" w:hAnsi="Verdana"/>
          <w:color w:val="000000" w:themeColor="text1"/>
        </w:rPr>
        <w:t xml:space="preserve">expresiones tales como ‘x es F’, que no son verdaderas ni falsas. En segundo lugar, la racionalidad –esto es, la coherencia con un sistema de ideas aceptado previamente– es necesaria pero no  suficiente para los enunciados fácticos […] Además de la racionalidad exigimos de los enunciados de las ciencias fácticas que sean verificables en la experiencia […] </w:t>
      </w:r>
      <w:r>
        <w:rPr>
          <w:rFonts w:ascii="Verdana" w:hAnsi="Verdana"/>
          <w:color w:val="000000" w:themeColor="text1"/>
        </w:rPr>
        <w:t>Ú</w:t>
      </w:r>
      <w:r w:rsidRPr="00F3152C">
        <w:rPr>
          <w:rFonts w:ascii="Verdana" w:hAnsi="Verdana"/>
          <w:color w:val="000000" w:themeColor="text1"/>
        </w:rPr>
        <w:t xml:space="preserve">nicamente después que haya pasado las pruebas de la verificación empírica podrá considerarse que un enunciado es adecuado a su objeto, o sea, que es verdadero, y </w:t>
      </w:r>
      <w:proofErr w:type="spellStart"/>
      <w:r w:rsidRPr="00F3152C">
        <w:rPr>
          <w:rFonts w:ascii="Verdana" w:hAnsi="Verdana"/>
          <w:color w:val="000000" w:themeColor="text1"/>
        </w:rPr>
        <w:t>aún</w:t>
      </w:r>
      <w:proofErr w:type="spellEnd"/>
      <w:r w:rsidRPr="00F3152C">
        <w:rPr>
          <w:rFonts w:ascii="Verdana" w:hAnsi="Verdana"/>
          <w:color w:val="000000" w:themeColor="text1"/>
        </w:rPr>
        <w:t xml:space="preserve"> así hasta nueva orden. Por esto es que el conocimiento fáctico verificable se llama a menudo ciencia empírica […] En última instancia, sólo la experiencia puede decirnos si una hipótesis relativa a cierto grupo de hechos materiales es adecuada o no.</w:t>
      </w:r>
    </w:p>
    <w:p w:rsidR="00F3152C" w:rsidRPr="00F3152C" w:rsidRDefault="00F3152C" w:rsidP="00F3152C">
      <w:pPr>
        <w:autoSpaceDE w:val="0"/>
        <w:autoSpaceDN w:val="0"/>
        <w:adjustRightInd w:val="0"/>
        <w:spacing w:after="0" w:line="240" w:lineRule="auto"/>
        <w:jc w:val="both"/>
        <w:rPr>
          <w:rFonts w:ascii="Verdana" w:hAnsi="Verdana"/>
          <w:color w:val="000000" w:themeColor="text1"/>
        </w:rPr>
      </w:pPr>
      <w:r w:rsidRPr="00F3152C">
        <w:rPr>
          <w:rFonts w:ascii="Verdana" w:hAnsi="Verdana"/>
          <w:color w:val="000000" w:themeColor="text1"/>
        </w:rPr>
        <w:t xml:space="preserve">     Las ciencias formales demuestran o prueban; las ciencias fá</w:t>
      </w:r>
      <w:r>
        <w:rPr>
          <w:rFonts w:ascii="Verdana" w:hAnsi="Verdana"/>
          <w:color w:val="000000" w:themeColor="text1"/>
        </w:rPr>
        <w:t xml:space="preserve">cticas verifican (confirman o </w:t>
      </w:r>
      <w:proofErr w:type="spellStart"/>
      <w:r>
        <w:rPr>
          <w:rFonts w:ascii="Verdana" w:hAnsi="Verdana"/>
          <w:color w:val="000000" w:themeColor="text1"/>
        </w:rPr>
        <w:t>de</w:t>
      </w:r>
      <w:r w:rsidRPr="00F3152C">
        <w:rPr>
          <w:rFonts w:ascii="Verdana" w:hAnsi="Verdana"/>
          <w:color w:val="000000" w:themeColor="text1"/>
        </w:rPr>
        <w:t>sconfirman</w:t>
      </w:r>
      <w:proofErr w:type="spellEnd"/>
      <w:r w:rsidRPr="00F3152C">
        <w:rPr>
          <w:rFonts w:ascii="Verdana" w:hAnsi="Verdana"/>
          <w:color w:val="000000" w:themeColor="text1"/>
        </w:rPr>
        <w:t>) hipótesis que en su mayoría son provisionales. La demostración es completa y final; la</w:t>
      </w:r>
      <w:r>
        <w:rPr>
          <w:rFonts w:ascii="Verdana" w:hAnsi="Verdana"/>
          <w:color w:val="000000" w:themeColor="text1"/>
        </w:rPr>
        <w:t xml:space="preserve"> </w:t>
      </w:r>
      <w:r w:rsidRPr="00F3152C">
        <w:rPr>
          <w:rFonts w:ascii="Verdana" w:hAnsi="Verdana"/>
          <w:color w:val="000000" w:themeColor="text1"/>
        </w:rPr>
        <w:t>verificación es incompleta y por ello temporaria. (...) Por ello, mientras las teorías formales pueden</w:t>
      </w:r>
      <w:r>
        <w:rPr>
          <w:rFonts w:ascii="Verdana" w:hAnsi="Verdana"/>
          <w:color w:val="000000" w:themeColor="text1"/>
        </w:rPr>
        <w:t xml:space="preserve"> </w:t>
      </w:r>
      <w:r w:rsidRPr="00F3152C">
        <w:rPr>
          <w:rFonts w:ascii="Verdana" w:hAnsi="Verdana"/>
          <w:color w:val="000000" w:themeColor="text1"/>
        </w:rPr>
        <w:t>ser llevadas a un estado de perfección (o estancamiento), los sistemas teóricos relativos a los hechos</w:t>
      </w:r>
      <w:r>
        <w:rPr>
          <w:rFonts w:ascii="Verdana" w:hAnsi="Verdana"/>
          <w:color w:val="000000" w:themeColor="text1"/>
        </w:rPr>
        <w:t xml:space="preserve"> </w:t>
      </w:r>
      <w:r w:rsidRPr="00F3152C">
        <w:rPr>
          <w:rFonts w:ascii="Verdana" w:hAnsi="Verdana"/>
          <w:color w:val="000000" w:themeColor="text1"/>
        </w:rPr>
        <w:t>son esencialmente defectuosos; cumplen, pues, la condición necesaria para ser perfectibles.</w:t>
      </w:r>
    </w:p>
    <w:p w:rsidR="00F3152C" w:rsidRPr="00F3152C" w:rsidRDefault="00F3152C" w:rsidP="00F3152C">
      <w:pPr>
        <w:autoSpaceDE w:val="0"/>
        <w:autoSpaceDN w:val="0"/>
        <w:adjustRightInd w:val="0"/>
        <w:spacing w:after="0" w:line="240" w:lineRule="auto"/>
        <w:rPr>
          <w:rFonts w:ascii="Verdana" w:hAnsi="Verdana"/>
          <w:color w:val="000000" w:themeColor="text1"/>
        </w:rPr>
      </w:pPr>
    </w:p>
    <w:p w:rsidR="00F3152C" w:rsidRPr="00F3152C" w:rsidRDefault="00F3152C" w:rsidP="00F3152C">
      <w:pPr>
        <w:autoSpaceDE w:val="0"/>
        <w:autoSpaceDN w:val="0"/>
        <w:adjustRightInd w:val="0"/>
        <w:spacing w:after="0" w:line="240" w:lineRule="auto"/>
        <w:rPr>
          <w:rFonts w:ascii="Verdana" w:hAnsi="Verdana"/>
          <w:color w:val="000000" w:themeColor="text1"/>
        </w:rPr>
      </w:pPr>
      <w:r w:rsidRPr="00F3152C">
        <w:rPr>
          <w:rFonts w:ascii="Verdana" w:hAnsi="Verdana"/>
          <w:color w:val="000000" w:themeColor="text1"/>
        </w:rPr>
        <w:t>Mario Bunge, La Ciencia, su Método y su Filosofía, Ediciones Siglo Veinte, Buenos Aires, 1971.</w:t>
      </w:r>
    </w:p>
    <w:p w:rsidR="00F3152C" w:rsidRPr="00F3152C" w:rsidRDefault="00F3152C" w:rsidP="00F3152C">
      <w:pPr>
        <w:spacing w:after="0" w:line="240" w:lineRule="auto"/>
        <w:rPr>
          <w:rFonts w:ascii="Verdana" w:hAnsi="Verdana"/>
          <w:color w:val="000000" w:themeColor="text1"/>
        </w:rPr>
      </w:pPr>
    </w:p>
    <w:p w:rsidR="00F3152C" w:rsidRDefault="00F3152C" w:rsidP="00F3152C">
      <w:pPr>
        <w:spacing w:after="0" w:line="240" w:lineRule="auto"/>
        <w:rPr>
          <w:rFonts w:ascii="Verdana" w:hAnsi="Verdana"/>
          <w:color w:val="000000" w:themeColor="text1"/>
          <w:sz w:val="20"/>
          <w:szCs w:val="20"/>
        </w:rPr>
      </w:pPr>
    </w:p>
    <w:p w:rsidR="00F3152C" w:rsidRDefault="00F3152C" w:rsidP="00F3152C">
      <w:pPr>
        <w:spacing w:after="0" w:line="240" w:lineRule="auto"/>
        <w:rPr>
          <w:rFonts w:ascii="Verdana" w:hAnsi="Verdana"/>
          <w:color w:val="000000" w:themeColor="text1"/>
          <w:sz w:val="20"/>
          <w:szCs w:val="20"/>
        </w:rPr>
      </w:pPr>
    </w:p>
    <w:p w:rsidR="00F3152C" w:rsidRDefault="00F3152C" w:rsidP="00F3152C">
      <w:pPr>
        <w:spacing w:after="0" w:line="240" w:lineRule="auto"/>
        <w:rPr>
          <w:rFonts w:ascii="Verdana" w:hAnsi="Verdana"/>
          <w:color w:val="000000" w:themeColor="text1"/>
          <w:sz w:val="20"/>
          <w:szCs w:val="20"/>
        </w:rPr>
      </w:pPr>
    </w:p>
    <w:p w:rsidR="00F3152C" w:rsidRDefault="00F3152C" w:rsidP="00F3152C">
      <w:pPr>
        <w:spacing w:after="0" w:line="240" w:lineRule="auto"/>
        <w:rPr>
          <w:rFonts w:ascii="Verdana" w:hAnsi="Verdana"/>
          <w:color w:val="000000" w:themeColor="text1"/>
          <w:sz w:val="20"/>
          <w:szCs w:val="20"/>
        </w:rPr>
      </w:pPr>
    </w:p>
    <w:p w:rsidR="00F3152C" w:rsidRDefault="00F3152C" w:rsidP="00F3152C">
      <w:pPr>
        <w:spacing w:after="0" w:line="240" w:lineRule="auto"/>
        <w:rPr>
          <w:rFonts w:ascii="Verdana" w:hAnsi="Verdana"/>
          <w:color w:val="000000" w:themeColor="text1"/>
          <w:sz w:val="20"/>
          <w:szCs w:val="20"/>
        </w:rPr>
      </w:pPr>
    </w:p>
    <w:p w:rsidR="00F3152C" w:rsidRDefault="00F3152C" w:rsidP="00F3152C">
      <w:pPr>
        <w:spacing w:after="0" w:line="240" w:lineRule="auto"/>
        <w:rPr>
          <w:rFonts w:ascii="Verdana" w:hAnsi="Verdana"/>
          <w:color w:val="000000" w:themeColor="text1"/>
          <w:sz w:val="20"/>
          <w:szCs w:val="20"/>
        </w:rPr>
      </w:pPr>
    </w:p>
    <w:p w:rsidR="00F3152C" w:rsidRPr="00134CBD" w:rsidRDefault="00F3152C" w:rsidP="00F3152C">
      <w:pPr>
        <w:rPr>
          <w:rFonts w:ascii="Verdana" w:hAnsi="Verdana"/>
          <w:color w:val="000000" w:themeColor="text1"/>
          <w:sz w:val="20"/>
          <w:szCs w:val="20"/>
        </w:rPr>
      </w:pPr>
    </w:p>
    <w:p w:rsidR="00F3152C" w:rsidRPr="00F3152C" w:rsidRDefault="00F3152C" w:rsidP="005663C5">
      <w:pPr>
        <w:spacing w:after="0" w:line="240" w:lineRule="auto"/>
        <w:jc w:val="both"/>
        <w:rPr>
          <w:rFonts w:ascii="Verdana" w:hAnsi="Verdana"/>
          <w:sz w:val="20"/>
          <w:szCs w:val="20"/>
          <w:lang w:val="es-ES_tradnl"/>
        </w:rPr>
      </w:pPr>
    </w:p>
    <w:p w:rsidR="006C09B7" w:rsidRPr="006C09B7" w:rsidRDefault="006C09B7" w:rsidP="006C09B7">
      <w:pPr>
        <w:spacing w:after="0" w:line="240" w:lineRule="auto"/>
        <w:jc w:val="both"/>
        <w:rPr>
          <w:rFonts w:ascii="Verdana" w:hAnsi="Verdana"/>
          <w:sz w:val="20"/>
          <w:szCs w:val="20"/>
        </w:rPr>
      </w:pPr>
    </w:p>
    <w:sectPr w:rsidR="006C09B7" w:rsidRPr="006C09B7" w:rsidSect="00E92E83">
      <w:pgSz w:w="12240" w:h="20160" w:code="5"/>
      <w:pgMar w:top="680" w:right="964" w:bottom="1134"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3CC8"/>
    <w:multiLevelType w:val="hybridMultilevel"/>
    <w:tmpl w:val="E398BC78"/>
    <w:lvl w:ilvl="0" w:tplc="ABB839C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B72030"/>
    <w:multiLevelType w:val="hybridMultilevel"/>
    <w:tmpl w:val="AD005830"/>
    <w:lvl w:ilvl="0" w:tplc="FD7C257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76F1687"/>
    <w:multiLevelType w:val="hybridMultilevel"/>
    <w:tmpl w:val="240E847A"/>
    <w:lvl w:ilvl="0" w:tplc="AE185F4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65F5399"/>
    <w:multiLevelType w:val="hybridMultilevel"/>
    <w:tmpl w:val="C00AB1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83"/>
    <w:rsid w:val="00054707"/>
    <w:rsid w:val="001E1BDE"/>
    <w:rsid w:val="002F2E7E"/>
    <w:rsid w:val="0036319B"/>
    <w:rsid w:val="00431EDF"/>
    <w:rsid w:val="00505322"/>
    <w:rsid w:val="00533AA9"/>
    <w:rsid w:val="005663C5"/>
    <w:rsid w:val="00660042"/>
    <w:rsid w:val="00662E6F"/>
    <w:rsid w:val="006C09B7"/>
    <w:rsid w:val="007678E2"/>
    <w:rsid w:val="00836B0C"/>
    <w:rsid w:val="009D3ED3"/>
    <w:rsid w:val="00A95727"/>
    <w:rsid w:val="00B87268"/>
    <w:rsid w:val="00C942FF"/>
    <w:rsid w:val="00D93FCF"/>
    <w:rsid w:val="00E92E83"/>
    <w:rsid w:val="00F3152C"/>
    <w:rsid w:val="00F72C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2E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E83"/>
    <w:rPr>
      <w:rFonts w:ascii="Tahoma" w:hAnsi="Tahoma" w:cs="Tahoma"/>
      <w:sz w:val="16"/>
      <w:szCs w:val="16"/>
    </w:rPr>
  </w:style>
  <w:style w:type="paragraph" w:styleId="Prrafodelista">
    <w:name w:val="List Paragraph"/>
    <w:basedOn w:val="Normal"/>
    <w:uiPriority w:val="34"/>
    <w:qFormat/>
    <w:rsid w:val="00836B0C"/>
    <w:pPr>
      <w:ind w:left="720"/>
      <w:contextualSpacing/>
    </w:pPr>
  </w:style>
  <w:style w:type="table" w:styleId="Tablaconcuadrcula">
    <w:name w:val="Table Grid"/>
    <w:basedOn w:val="Tablanormal"/>
    <w:uiPriority w:val="59"/>
    <w:rsid w:val="00F315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2E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E83"/>
    <w:rPr>
      <w:rFonts w:ascii="Tahoma" w:hAnsi="Tahoma" w:cs="Tahoma"/>
      <w:sz w:val="16"/>
      <w:szCs w:val="16"/>
    </w:rPr>
  </w:style>
  <w:style w:type="paragraph" w:styleId="Prrafodelista">
    <w:name w:val="List Paragraph"/>
    <w:basedOn w:val="Normal"/>
    <w:uiPriority w:val="34"/>
    <w:qFormat/>
    <w:rsid w:val="00836B0C"/>
    <w:pPr>
      <w:ind w:left="720"/>
      <w:contextualSpacing/>
    </w:pPr>
  </w:style>
  <w:style w:type="table" w:styleId="Tablaconcuadrcula">
    <w:name w:val="Table Grid"/>
    <w:basedOn w:val="Tablanormal"/>
    <w:uiPriority w:val="59"/>
    <w:rsid w:val="00F315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529</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16</cp:revision>
  <dcterms:created xsi:type="dcterms:W3CDTF">2014-09-01T15:35:00Z</dcterms:created>
  <dcterms:modified xsi:type="dcterms:W3CDTF">2020-03-08T17:09:00Z</dcterms:modified>
</cp:coreProperties>
</file>